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EA9F" w14:textId="676A69AD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1C3BFA">
        <w:rPr>
          <w:rFonts w:ascii="Arial" w:eastAsia="Arial" w:hAnsi="Arial" w:cs="Arial"/>
          <w:b/>
          <w:color w:val="000000"/>
          <w:sz w:val="28"/>
          <w:szCs w:val="28"/>
        </w:rPr>
        <w:t>4</w:t>
      </w:r>
      <w:r>
        <w:rPr>
          <w:rFonts w:ascii="Arial" w:eastAsia="Arial" w:hAnsi="Arial" w:cs="Arial"/>
          <w:b/>
          <w:color w:val="000000"/>
          <w:sz w:val="28"/>
          <w:szCs w:val="28"/>
        </w:rPr>
        <w:t>. zasedání  Zastupitelstva  Obce  Lipina</w:t>
      </w:r>
    </w:p>
    <w:p w14:paraId="2AC99F6B" w14:textId="29DA8C78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konaného dne </w:t>
      </w:r>
      <w:r w:rsidR="001C6A61">
        <w:rPr>
          <w:rFonts w:ascii="Arial" w:eastAsia="Arial" w:hAnsi="Arial" w:cs="Arial"/>
          <w:b/>
          <w:color w:val="000000"/>
          <w:sz w:val="28"/>
          <w:szCs w:val="28"/>
        </w:rPr>
        <w:t>1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1C6A61">
        <w:rPr>
          <w:rFonts w:ascii="Arial" w:eastAsia="Arial" w:hAnsi="Arial" w:cs="Arial"/>
          <w:b/>
          <w:color w:val="000000"/>
          <w:sz w:val="28"/>
          <w:szCs w:val="28"/>
        </w:rPr>
        <w:t>10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385014">
        <w:rPr>
          <w:rFonts w:ascii="Arial" w:eastAsia="Arial" w:hAnsi="Arial" w:cs="Arial"/>
          <w:b/>
          <w:color w:val="000000"/>
          <w:sz w:val="28"/>
          <w:szCs w:val="28"/>
        </w:rPr>
        <w:t>5</w:t>
      </w:r>
    </w:p>
    <w:p w14:paraId="13F5948E" w14:textId="77777777" w:rsidR="00A47A01" w:rsidRDefault="00A47A0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F50C667" w14:textId="77777777" w:rsidR="000E1BDB" w:rsidRDefault="000E1BDB" w:rsidP="000E1BD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8D84DCF" w14:textId="77777777" w:rsidR="00A47A01" w:rsidRDefault="00A47A01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4D2DE9B9" w14:textId="30B51A16" w:rsidR="000E1BDB" w:rsidRPr="0074617B" w:rsidRDefault="000E1BDB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1C6A61">
        <w:rPr>
          <w:rFonts w:ascii="Arial" w:eastAsia="Arial" w:hAnsi="Arial" w:cs="Arial"/>
          <w:b/>
        </w:rPr>
        <w:t>4</w:t>
      </w:r>
      <w:r w:rsidRPr="0074617B">
        <w:rPr>
          <w:rFonts w:ascii="Arial" w:eastAsia="Arial" w:hAnsi="Arial" w:cs="Arial"/>
          <w:b/>
        </w:rPr>
        <w:t>/1/202</w:t>
      </w:r>
      <w:r w:rsidR="00171D7C">
        <w:rPr>
          <w:rFonts w:ascii="Arial" w:eastAsia="Arial" w:hAnsi="Arial" w:cs="Arial"/>
          <w:b/>
        </w:rPr>
        <w:t>5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756C2AC8" w14:textId="77777777" w:rsidR="000E1BDB" w:rsidRPr="0074617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51B22CEC" w14:textId="77777777" w:rsidR="000E1BDB" w:rsidRPr="0074617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B7233B9" w14:textId="658BDE74" w:rsidR="000E1BDB" w:rsidRDefault="000E1BDB" w:rsidP="000E1BD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1C6A61">
        <w:rPr>
          <w:rFonts w:ascii="Arial" w:eastAsia="Arial" w:hAnsi="Arial" w:cs="Arial"/>
          <w:spacing w:val="70"/>
          <w:sz w:val="22"/>
          <w:szCs w:val="22"/>
        </w:rPr>
        <w:t>4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 w:rsidR="00171D7C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1C6A61">
        <w:rPr>
          <w:rFonts w:ascii="Arial" w:eastAsia="Arial" w:hAnsi="Arial" w:cs="Arial"/>
          <w:spacing w:val="70"/>
          <w:sz w:val="22"/>
          <w:szCs w:val="22"/>
        </w:rPr>
        <w:t>1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1C6A61">
        <w:rPr>
          <w:rFonts w:ascii="Arial" w:eastAsia="Arial" w:hAnsi="Arial" w:cs="Arial"/>
          <w:spacing w:val="70"/>
          <w:sz w:val="22"/>
          <w:szCs w:val="22"/>
        </w:rPr>
        <w:t>10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.202</w:t>
      </w:r>
      <w:r w:rsidR="00171D7C">
        <w:rPr>
          <w:rFonts w:ascii="Arial" w:eastAsia="Arial" w:hAnsi="Arial" w:cs="Arial"/>
          <w:spacing w:val="70"/>
          <w:sz w:val="22"/>
          <w:szCs w:val="22"/>
        </w:rPr>
        <w:t>5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27371FD1" w14:textId="77777777" w:rsidR="00A47A01" w:rsidRPr="0074617B" w:rsidRDefault="00A47A01" w:rsidP="00A47A01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8CC6614" w14:textId="77777777" w:rsidR="000E1BDB" w:rsidRPr="0074617B" w:rsidRDefault="000E1BDB" w:rsidP="00A47A0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CDA6606" w14:textId="77777777" w:rsidR="004C5500" w:rsidRPr="0074617B" w:rsidRDefault="004C5500" w:rsidP="004C5500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DF6127B" w14:textId="373B5913" w:rsidR="004C5500" w:rsidRPr="00A47A01" w:rsidRDefault="004C5500" w:rsidP="004C5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709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 w:rsidR="001C6A61">
        <w:rPr>
          <w:rFonts w:ascii="Arial" w:eastAsia="Arial" w:hAnsi="Arial" w:cs="Arial"/>
          <w:b/>
        </w:rPr>
        <w:t>4</w:t>
      </w:r>
      <w:r w:rsidRPr="002C3C5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sz w:val="23"/>
          <w:szCs w:val="23"/>
        </w:rPr>
        <w:t xml:space="preserve">    </w:t>
      </w:r>
      <w:r w:rsidRPr="002C3C51">
        <w:rPr>
          <w:rFonts w:ascii="Arial" w:eastAsia="Arial" w:hAnsi="Arial" w:cs="Arial"/>
          <w:b/>
        </w:rPr>
        <w:t xml:space="preserve">Rozpočtové opatření č. </w:t>
      </w:r>
      <w:r w:rsidR="001C6A61">
        <w:rPr>
          <w:rFonts w:ascii="Arial" w:eastAsia="Arial" w:hAnsi="Arial" w:cs="Arial"/>
          <w:b/>
        </w:rPr>
        <w:t>4</w:t>
      </w:r>
      <w:r w:rsidRPr="002C3C51">
        <w:rPr>
          <w:rFonts w:ascii="Arial" w:eastAsia="Arial" w:hAnsi="Arial" w:cs="Arial"/>
          <w:b/>
        </w:rPr>
        <w:t>/202</w:t>
      </w:r>
      <w:r>
        <w:rPr>
          <w:rFonts w:ascii="Arial" w:eastAsia="Arial" w:hAnsi="Arial" w:cs="Arial"/>
          <w:b/>
        </w:rPr>
        <w:t>5</w:t>
      </w:r>
      <w:r w:rsidR="001C6A61">
        <w:rPr>
          <w:rFonts w:ascii="Arial" w:eastAsia="Arial" w:hAnsi="Arial" w:cs="Arial"/>
          <w:b/>
        </w:rPr>
        <w:t>, 5/2025 a 6/2025</w:t>
      </w:r>
      <w:r w:rsidRPr="002C3C51">
        <w:rPr>
          <w:rFonts w:ascii="Arial" w:eastAsia="Arial" w:hAnsi="Arial" w:cs="Arial"/>
          <w:b/>
        </w:rPr>
        <w:t xml:space="preserve">  </w:t>
      </w:r>
    </w:p>
    <w:p w14:paraId="342FB839" w14:textId="77777777" w:rsidR="004C5500" w:rsidRPr="002C3C51" w:rsidRDefault="004C5500" w:rsidP="004C5500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>Zastupitelstvo Obce Lipina  po projednání:</w:t>
      </w:r>
    </w:p>
    <w:p w14:paraId="25BB3DBF" w14:textId="77777777" w:rsidR="004C5500" w:rsidRPr="002C3C51" w:rsidRDefault="004C5500" w:rsidP="004C5500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06FA2803" w14:textId="5131A1C2" w:rsidR="001C6A61" w:rsidRDefault="004C5500" w:rsidP="00E530E2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color w:val="000000" w:themeColor="text1"/>
          <w:spacing w:val="70"/>
          <w:sz w:val="22"/>
          <w:szCs w:val="22"/>
        </w:rPr>
      </w:pPr>
      <w:r w:rsidRPr="00F305CA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bere na vědomí  </w:t>
      </w:r>
      <w:r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rozpočtové opatření  č. </w:t>
      </w:r>
      <w:r w:rsid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4</w:t>
      </w:r>
      <w:r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/2025 ve výši </w:t>
      </w:r>
      <w:r w:rsid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515</w:t>
      </w:r>
      <w:r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.000,- Kč, kdy se jedná o navýšení rozpočtu na straně příjmové i výdajové z důvodu </w:t>
      </w:r>
      <w:r w:rsid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přijetí dotace ze Státního zemědělského a intervenčního fondu a z příspěvku na volby do Poslanecké sněmovny v roce 2025 </w:t>
      </w:r>
    </w:p>
    <w:p w14:paraId="71FEAC0F" w14:textId="0421BAC7" w:rsidR="001C6A61" w:rsidRPr="001C6A61" w:rsidRDefault="001C6A61" w:rsidP="004C768C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color w:val="000000" w:themeColor="text1"/>
          <w:spacing w:val="70"/>
          <w:sz w:val="22"/>
          <w:szCs w:val="22"/>
        </w:rPr>
      </w:pPr>
      <w:r w:rsidRPr="001C6A61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bere na vědomí  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rozpočtové opatření  č. 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5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/2025 ve výši 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410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.000,- Kč, kdy se jedná o navýšení rozpočtu na straně příjmové </w:t>
      </w:r>
      <w:r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a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výdajové</w:t>
      </w:r>
      <w:r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,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z důvodu přijetí dota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c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e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z Úřadu práce</w:t>
      </w:r>
      <w:r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ČR na pracovní místo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a příjmů z prodeje dříví</w:t>
      </w:r>
      <w:r w:rsidRPr="001C6A61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</w:t>
      </w:r>
    </w:p>
    <w:p w14:paraId="33729A63" w14:textId="3BCF9F91" w:rsidR="001C6A61" w:rsidRPr="001C6A61" w:rsidRDefault="001C6A61" w:rsidP="001C6A61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color w:val="000000" w:themeColor="text1"/>
          <w:spacing w:val="70"/>
          <w:sz w:val="22"/>
          <w:szCs w:val="22"/>
        </w:rPr>
      </w:pPr>
      <w:r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>schvaluje</w:t>
      </w:r>
      <w:r w:rsidRPr="001C6A61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  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rozpočtové opatření  č. </w:t>
      </w:r>
      <w:r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6</w:t>
      </w:r>
      <w:r w:rsidRPr="001C6A6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/2025</w:t>
      </w:r>
      <w:r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, kdy se jedná o přesuny mezi jednotlivými položkami a paragrafy rozpočtu, kdy se nejedná o úpravu rozpočtu na straně příjmové ani výdajové.</w:t>
      </w:r>
      <w:r w:rsidRPr="001C6A61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</w:t>
      </w:r>
    </w:p>
    <w:p w14:paraId="7E65110B" w14:textId="272954D2" w:rsidR="004C5500" w:rsidRPr="00F305CA" w:rsidRDefault="004C5500" w:rsidP="001C6A61">
      <w:pPr>
        <w:shd w:val="clear" w:color="auto" w:fill="FFFFFF"/>
        <w:tabs>
          <w:tab w:val="left" w:pos="709"/>
        </w:tabs>
        <w:ind w:leftChars="0" w:left="709" w:firstLineChars="0" w:firstLine="0"/>
        <w:jc w:val="both"/>
        <w:textDirection w:val="lrTb"/>
        <w:textAlignment w:val="auto"/>
        <w:rPr>
          <w:rFonts w:ascii="Arial" w:eastAsia="Arial" w:hAnsi="Arial" w:cs="Arial"/>
          <w:color w:val="000000" w:themeColor="text1"/>
          <w:spacing w:val="70"/>
          <w:sz w:val="22"/>
          <w:szCs w:val="22"/>
        </w:rPr>
      </w:pPr>
    </w:p>
    <w:p w14:paraId="064BCD95" w14:textId="77777777" w:rsidR="004C5500" w:rsidRPr="00A10A7F" w:rsidRDefault="004C5500" w:rsidP="004C5500">
      <w:pPr>
        <w:pStyle w:val="slo1text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FF0000"/>
          <w:sz w:val="20"/>
        </w:rPr>
      </w:pPr>
    </w:p>
    <w:p w14:paraId="251A86E7" w14:textId="77777777" w:rsidR="004C5500" w:rsidRPr="00EF3599" w:rsidRDefault="004C5500" w:rsidP="004C550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5B6011F" w14:textId="77777777" w:rsidR="004C5500" w:rsidRDefault="004C5500" w:rsidP="004C55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74B5E1" w14:textId="77777777" w:rsidR="000E1BDB" w:rsidRDefault="000E1BDB" w:rsidP="000E1BDB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color w:val="FF0000"/>
          <w:spacing w:val="70"/>
          <w:sz w:val="22"/>
          <w:szCs w:val="22"/>
        </w:rPr>
      </w:pPr>
    </w:p>
    <w:p w14:paraId="2C723D73" w14:textId="09C94309" w:rsidR="005A5971" w:rsidRPr="00A47A01" w:rsidRDefault="005A5971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 w:rsidR="001C6A61">
        <w:rPr>
          <w:rFonts w:ascii="Arial" w:eastAsia="Arial" w:hAnsi="Arial" w:cs="Arial"/>
          <w:b/>
        </w:rPr>
        <w:t>4</w:t>
      </w:r>
      <w:r w:rsidRPr="002C3C51">
        <w:rPr>
          <w:rFonts w:ascii="Arial" w:eastAsia="Arial" w:hAnsi="Arial" w:cs="Arial"/>
          <w:b/>
        </w:rPr>
        <w:t>/</w:t>
      </w:r>
      <w:r w:rsidR="001C6A61">
        <w:rPr>
          <w:rFonts w:ascii="Arial" w:eastAsia="Arial" w:hAnsi="Arial" w:cs="Arial"/>
          <w:b/>
        </w:rPr>
        <w:t>3</w:t>
      </w:r>
      <w:r w:rsidRPr="002C3C51">
        <w:rPr>
          <w:rFonts w:ascii="Arial" w:eastAsia="Arial" w:hAnsi="Arial" w:cs="Arial"/>
          <w:b/>
        </w:rPr>
        <w:t>/202</w:t>
      </w:r>
      <w:r w:rsidR="00171D7C"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sz w:val="23"/>
          <w:szCs w:val="23"/>
        </w:rPr>
        <w:t xml:space="preserve">    </w:t>
      </w:r>
      <w:r w:rsidR="001C6A61">
        <w:rPr>
          <w:rFonts w:ascii="Arial" w:eastAsia="Arial" w:hAnsi="Arial" w:cs="Arial"/>
          <w:b/>
        </w:rPr>
        <w:t>Projednání návrhu na zvýšení daně z nemovitosti</w:t>
      </w:r>
      <w:r w:rsidRPr="002C3C51">
        <w:rPr>
          <w:rFonts w:ascii="Arial" w:eastAsia="Arial" w:hAnsi="Arial" w:cs="Arial"/>
          <w:b/>
        </w:rPr>
        <w:t xml:space="preserve"> </w:t>
      </w:r>
    </w:p>
    <w:p w14:paraId="35AC2D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>Zastupitelstvo Obce Lipina  po projednání:</w:t>
      </w:r>
    </w:p>
    <w:p w14:paraId="296A01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6C0678D8" w14:textId="21DA68D3" w:rsidR="00A47A01" w:rsidRPr="00F305CA" w:rsidRDefault="001C6A61" w:rsidP="00E530E2">
      <w:pPr>
        <w:numPr>
          <w:ilvl w:val="0"/>
          <w:numId w:val="21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eastAsia="Arial" w:cs="Arial"/>
          <w:color w:val="000000" w:themeColor="text1"/>
          <w:sz w:val="20"/>
        </w:rPr>
      </w:pPr>
      <w:r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>pověřuje</w:t>
      </w:r>
      <w:r w:rsidR="0083454E" w:rsidRPr="00F305CA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 </w:t>
      </w:r>
      <w:r w:rsidR="005A5971" w:rsidRPr="00F305CA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 </w:t>
      </w:r>
      <w:r w:rsidRPr="001C6A61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>s</w:t>
      </w:r>
      <w:r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tarostu Tomáše </w:t>
      </w:r>
      <w:r w:rsidR="00A21A42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Pudla zpracováním návrhu na zvýšení daně z nemovitosti na rok 2027</w:t>
      </w:r>
      <w:r w:rsidR="00E87FE9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</w:t>
      </w:r>
    </w:p>
    <w:p w14:paraId="4F56F10D" w14:textId="77777777" w:rsidR="005F2EFF" w:rsidRPr="00EF3599" w:rsidRDefault="005F2EFF" w:rsidP="005F2EF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C5F6390" w14:textId="77777777" w:rsidR="00806BA1" w:rsidRDefault="00806BA1" w:rsidP="00806B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1FC0C9" w14:textId="77777777" w:rsidR="00806BA1" w:rsidRDefault="00806BA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BC8DD7" w14:textId="77777777" w:rsidR="006B6C4A" w:rsidRDefault="006B6C4A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63330C" w14:textId="737F35FA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 V  Lipině dne  </w:t>
      </w:r>
      <w:r w:rsidR="00A21A42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A21A42">
        <w:rPr>
          <w:rFonts w:ascii="Arial" w:eastAsia="Arial" w:hAnsi="Arial" w:cs="Arial"/>
          <w:color w:val="000000"/>
          <w:sz w:val="22"/>
          <w:szCs w:val="22"/>
        </w:rPr>
        <w:t xml:space="preserve"> 10</w:t>
      </w:r>
      <w:r>
        <w:rPr>
          <w:rFonts w:ascii="Arial" w:eastAsia="Arial" w:hAnsi="Arial" w:cs="Arial"/>
          <w:color w:val="000000"/>
          <w:sz w:val="22"/>
          <w:szCs w:val="22"/>
        </w:rPr>
        <w:t>. 202</w:t>
      </w:r>
      <w:r w:rsidR="0077038C">
        <w:rPr>
          <w:rFonts w:ascii="Arial" w:eastAsia="Arial" w:hAnsi="Arial" w:cs="Arial"/>
          <w:color w:val="000000"/>
          <w:sz w:val="22"/>
          <w:szCs w:val="22"/>
        </w:rPr>
        <w:t>5</w:t>
      </w:r>
    </w:p>
    <w:p w14:paraId="7FAA258D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6F9C64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A47A01">
        <w:rPr>
          <w:rFonts w:ascii="Arial" w:eastAsia="Arial" w:hAnsi="Arial" w:cs="Arial"/>
          <w:color w:val="000000"/>
          <w:sz w:val="22"/>
          <w:szCs w:val="22"/>
        </w:rPr>
        <w:t>Stanislav  Slinták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Tomáš Pudl </w:t>
      </w:r>
    </w:p>
    <w:p w14:paraId="7DCF8011" w14:textId="77777777" w:rsidR="000E1BDB" w:rsidRPr="005B09BD" w:rsidRDefault="000E1BDB" w:rsidP="005B09B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místostarosta                                                                        starosta</w:t>
      </w:r>
    </w:p>
    <w:sectPr w:rsidR="000E1BDB" w:rsidRPr="005B09BD" w:rsidSect="00770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4262" w14:textId="77777777" w:rsidR="00BA4A56" w:rsidRDefault="00BA4A56" w:rsidP="00B83F2A">
      <w:pPr>
        <w:spacing w:line="240" w:lineRule="auto"/>
        <w:ind w:left="0" w:hanging="2"/>
      </w:pPr>
      <w:r>
        <w:separator/>
      </w:r>
    </w:p>
  </w:endnote>
  <w:endnote w:type="continuationSeparator" w:id="0">
    <w:p w14:paraId="30198678" w14:textId="77777777" w:rsidR="00BA4A56" w:rsidRDefault="00BA4A56" w:rsidP="00B83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1F76" w14:textId="77777777" w:rsidR="00B83F2A" w:rsidRDefault="00B83F2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D2AE" w14:textId="77777777" w:rsidR="00B83F2A" w:rsidRDefault="00B83F2A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940D" w14:textId="77777777" w:rsidR="00B83F2A" w:rsidRDefault="00B83F2A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9496" w14:textId="77777777" w:rsidR="00BA4A56" w:rsidRDefault="00BA4A56" w:rsidP="00B83F2A">
      <w:pPr>
        <w:spacing w:line="240" w:lineRule="auto"/>
        <w:ind w:left="0" w:hanging="2"/>
      </w:pPr>
      <w:r>
        <w:separator/>
      </w:r>
    </w:p>
  </w:footnote>
  <w:footnote w:type="continuationSeparator" w:id="0">
    <w:p w14:paraId="04E954ED" w14:textId="77777777" w:rsidR="00BA4A56" w:rsidRDefault="00BA4A56" w:rsidP="00B83F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8EE5" w14:textId="77777777" w:rsidR="00B83F2A" w:rsidRDefault="00B83F2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98D6" w14:textId="5D5CACFC" w:rsidR="00B83F2A" w:rsidRDefault="00E078DF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430EC2" wp14:editId="46419778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122754635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F2A">
      <w:rPr>
        <w:rFonts w:ascii="Arial" w:eastAsia="Arial" w:hAnsi="Arial" w:cs="Arial"/>
        <w:color w:val="000000"/>
        <w:sz w:val="72"/>
      </w:rPr>
      <w:t>Obec Lipina</w:t>
    </w:r>
  </w:p>
  <w:p w14:paraId="4DEB4FB7" w14:textId="77777777" w:rsidR="00B83F2A" w:rsidRDefault="00B83F2A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ACC6" w14:textId="77777777" w:rsidR="00B83F2A" w:rsidRDefault="00B83F2A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AFA785B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FF06D5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BF3F2B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ED709DC"/>
    <w:multiLevelType w:val="multilevel"/>
    <w:tmpl w:val="554840CC"/>
    <w:lvl w:ilvl="0">
      <w:start w:val="1"/>
      <w:numFmt w:val="decimal"/>
      <w:pStyle w:val="slo1text"/>
      <w:lvlText w:val="%1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0D3650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2044A0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305284"/>
    <w:multiLevelType w:val="multilevel"/>
    <w:tmpl w:val="D1E863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285399">
    <w:abstractNumId w:val="2"/>
  </w:num>
  <w:num w:numId="2" w16cid:durableId="291641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40781">
    <w:abstractNumId w:val="18"/>
  </w:num>
  <w:num w:numId="4" w16cid:durableId="673849101">
    <w:abstractNumId w:val="9"/>
  </w:num>
  <w:num w:numId="5" w16cid:durableId="949242501">
    <w:abstractNumId w:val="7"/>
  </w:num>
  <w:num w:numId="6" w16cid:durableId="154421879">
    <w:abstractNumId w:val="16"/>
  </w:num>
  <w:num w:numId="7" w16cid:durableId="590160831">
    <w:abstractNumId w:val="20"/>
  </w:num>
  <w:num w:numId="8" w16cid:durableId="100926713">
    <w:abstractNumId w:val="1"/>
  </w:num>
  <w:num w:numId="9" w16cid:durableId="1621298930">
    <w:abstractNumId w:val="12"/>
  </w:num>
  <w:num w:numId="10" w16cid:durableId="80489707">
    <w:abstractNumId w:val="11"/>
  </w:num>
  <w:num w:numId="11" w16cid:durableId="72515528">
    <w:abstractNumId w:val="0"/>
  </w:num>
  <w:num w:numId="12" w16cid:durableId="1948076257">
    <w:abstractNumId w:val="4"/>
  </w:num>
  <w:num w:numId="13" w16cid:durableId="1761020934">
    <w:abstractNumId w:val="5"/>
  </w:num>
  <w:num w:numId="14" w16cid:durableId="1574511399">
    <w:abstractNumId w:val="14"/>
  </w:num>
  <w:num w:numId="15" w16cid:durableId="1839037088">
    <w:abstractNumId w:val="19"/>
  </w:num>
  <w:num w:numId="16" w16cid:durableId="1943762399">
    <w:abstractNumId w:val="10"/>
  </w:num>
  <w:num w:numId="17" w16cid:durableId="291325925">
    <w:abstractNumId w:val="21"/>
  </w:num>
  <w:num w:numId="18" w16cid:durableId="1661272355">
    <w:abstractNumId w:val="8"/>
  </w:num>
  <w:num w:numId="19" w16cid:durableId="667561398">
    <w:abstractNumId w:val="13"/>
  </w:num>
  <w:num w:numId="20" w16cid:durableId="145517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4257684">
    <w:abstractNumId w:val="6"/>
  </w:num>
  <w:num w:numId="22" w16cid:durableId="185468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DB"/>
    <w:rsid w:val="000275B9"/>
    <w:rsid w:val="00033C41"/>
    <w:rsid w:val="00036678"/>
    <w:rsid w:val="000403AC"/>
    <w:rsid w:val="00053B91"/>
    <w:rsid w:val="000A3851"/>
    <w:rsid w:val="000B6A61"/>
    <w:rsid w:val="000E1BDB"/>
    <w:rsid w:val="000E6310"/>
    <w:rsid w:val="00134C24"/>
    <w:rsid w:val="0014093E"/>
    <w:rsid w:val="00171D7C"/>
    <w:rsid w:val="001874F4"/>
    <w:rsid w:val="001A38AA"/>
    <w:rsid w:val="001A690A"/>
    <w:rsid w:val="001C1900"/>
    <w:rsid w:val="001C3BFA"/>
    <w:rsid w:val="001C6A61"/>
    <w:rsid w:val="001E45C5"/>
    <w:rsid w:val="001E6751"/>
    <w:rsid w:val="001F5AEF"/>
    <w:rsid w:val="00204E8F"/>
    <w:rsid w:val="00216942"/>
    <w:rsid w:val="00217B66"/>
    <w:rsid w:val="00275229"/>
    <w:rsid w:val="00291431"/>
    <w:rsid w:val="002B4F04"/>
    <w:rsid w:val="002E56E6"/>
    <w:rsid w:val="002F021B"/>
    <w:rsid w:val="00305D28"/>
    <w:rsid w:val="00334F25"/>
    <w:rsid w:val="0033605E"/>
    <w:rsid w:val="00372AE3"/>
    <w:rsid w:val="0038218D"/>
    <w:rsid w:val="00385014"/>
    <w:rsid w:val="0039318F"/>
    <w:rsid w:val="003A3484"/>
    <w:rsid w:val="003D050E"/>
    <w:rsid w:val="003F3B9A"/>
    <w:rsid w:val="0040042B"/>
    <w:rsid w:val="0040530C"/>
    <w:rsid w:val="0042473F"/>
    <w:rsid w:val="004926EB"/>
    <w:rsid w:val="004C5500"/>
    <w:rsid w:val="004F6DC9"/>
    <w:rsid w:val="00507707"/>
    <w:rsid w:val="00544947"/>
    <w:rsid w:val="00564D4F"/>
    <w:rsid w:val="0058473C"/>
    <w:rsid w:val="005A5971"/>
    <w:rsid w:val="005B09BD"/>
    <w:rsid w:val="005B188E"/>
    <w:rsid w:val="005F2EFF"/>
    <w:rsid w:val="006069A3"/>
    <w:rsid w:val="00624A5C"/>
    <w:rsid w:val="0064529A"/>
    <w:rsid w:val="006B6C4A"/>
    <w:rsid w:val="007002D1"/>
    <w:rsid w:val="0073061F"/>
    <w:rsid w:val="0077020C"/>
    <w:rsid w:val="0077038C"/>
    <w:rsid w:val="00806BA1"/>
    <w:rsid w:val="008072A1"/>
    <w:rsid w:val="00825D7A"/>
    <w:rsid w:val="0083454E"/>
    <w:rsid w:val="00850AB6"/>
    <w:rsid w:val="00887B69"/>
    <w:rsid w:val="008A0855"/>
    <w:rsid w:val="008A2DE1"/>
    <w:rsid w:val="008A5E08"/>
    <w:rsid w:val="008F2E87"/>
    <w:rsid w:val="008F39C8"/>
    <w:rsid w:val="008F7628"/>
    <w:rsid w:val="009025E0"/>
    <w:rsid w:val="009054CA"/>
    <w:rsid w:val="00913B27"/>
    <w:rsid w:val="00922082"/>
    <w:rsid w:val="009765DC"/>
    <w:rsid w:val="009F5D9C"/>
    <w:rsid w:val="009F6CA8"/>
    <w:rsid w:val="00A03602"/>
    <w:rsid w:val="00A10A7F"/>
    <w:rsid w:val="00A21A42"/>
    <w:rsid w:val="00A2529D"/>
    <w:rsid w:val="00A25C39"/>
    <w:rsid w:val="00A47A01"/>
    <w:rsid w:val="00A623BE"/>
    <w:rsid w:val="00AB1777"/>
    <w:rsid w:val="00AB370C"/>
    <w:rsid w:val="00AB7353"/>
    <w:rsid w:val="00AC1DB8"/>
    <w:rsid w:val="00AD5736"/>
    <w:rsid w:val="00B10378"/>
    <w:rsid w:val="00B11F32"/>
    <w:rsid w:val="00B31482"/>
    <w:rsid w:val="00B36B0F"/>
    <w:rsid w:val="00B47208"/>
    <w:rsid w:val="00B83F2A"/>
    <w:rsid w:val="00BA4A56"/>
    <w:rsid w:val="00BB078E"/>
    <w:rsid w:val="00BB14AB"/>
    <w:rsid w:val="00BC46D8"/>
    <w:rsid w:val="00BD361D"/>
    <w:rsid w:val="00BD36C6"/>
    <w:rsid w:val="00BF18B2"/>
    <w:rsid w:val="00C056B4"/>
    <w:rsid w:val="00C07593"/>
    <w:rsid w:val="00C13390"/>
    <w:rsid w:val="00C322A4"/>
    <w:rsid w:val="00C33F61"/>
    <w:rsid w:val="00C70ABB"/>
    <w:rsid w:val="00C9343B"/>
    <w:rsid w:val="00CA169E"/>
    <w:rsid w:val="00CC47D4"/>
    <w:rsid w:val="00CC769F"/>
    <w:rsid w:val="00D23D97"/>
    <w:rsid w:val="00D24BAC"/>
    <w:rsid w:val="00D57C0A"/>
    <w:rsid w:val="00D8465C"/>
    <w:rsid w:val="00DA542A"/>
    <w:rsid w:val="00DB11C0"/>
    <w:rsid w:val="00DC0744"/>
    <w:rsid w:val="00DF5531"/>
    <w:rsid w:val="00E0588B"/>
    <w:rsid w:val="00E078DF"/>
    <w:rsid w:val="00E45CBD"/>
    <w:rsid w:val="00E46114"/>
    <w:rsid w:val="00E530E2"/>
    <w:rsid w:val="00E6165B"/>
    <w:rsid w:val="00E72AA0"/>
    <w:rsid w:val="00E772AD"/>
    <w:rsid w:val="00E83381"/>
    <w:rsid w:val="00E87FE9"/>
    <w:rsid w:val="00EA317F"/>
    <w:rsid w:val="00F153B2"/>
    <w:rsid w:val="00F305CA"/>
    <w:rsid w:val="00F60776"/>
    <w:rsid w:val="00F81FDE"/>
    <w:rsid w:val="00F93D73"/>
    <w:rsid w:val="00FB2392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19E7D"/>
  <w15:chartTrackingRefBased/>
  <w15:docId w15:val="{E4051F18-B784-474B-B484-1DD8500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E1B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07593"/>
    <w:pPr>
      <w:keepNext/>
      <w:numPr>
        <w:ilvl w:val="3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3"/>
    </w:pPr>
    <w:rPr>
      <w:rFonts w:ascii="Arial" w:hAnsi="Arial" w:cs="Times New Roman"/>
      <w:bCs/>
      <w:position w:val="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07593"/>
    <w:pPr>
      <w:numPr>
        <w:ilvl w:val="4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4"/>
    </w:pPr>
    <w:rPr>
      <w:rFonts w:ascii="Arial" w:hAnsi="Arial" w:cs="Times New Roman"/>
      <w:bCs/>
      <w:iCs/>
      <w:position w:val="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7593"/>
    <w:pPr>
      <w:numPr>
        <w:ilvl w:val="5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5"/>
    </w:pPr>
    <w:rPr>
      <w:rFonts w:ascii="Arial" w:hAnsi="Arial" w:cs="Times New Roman"/>
      <w:bCs/>
      <w:position w:val="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07593"/>
    <w:pPr>
      <w:numPr>
        <w:ilvl w:val="6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6"/>
    </w:pPr>
    <w:rPr>
      <w:rFonts w:ascii="Arial" w:hAnsi="Arial" w:cs="Times New Roman"/>
      <w:position w:val="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07593"/>
    <w:pPr>
      <w:numPr>
        <w:ilvl w:val="7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7"/>
    </w:pPr>
    <w:rPr>
      <w:rFonts w:ascii="Arial" w:hAnsi="Arial" w:cs="Times New Roman"/>
      <w:iCs/>
      <w:position w:val="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07593"/>
    <w:pPr>
      <w:numPr>
        <w:ilvl w:val="8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8"/>
    </w:pPr>
    <w:rPr>
      <w:rFonts w:ascii="Arial" w:hAnsi="Arial" w:cs="Times New Roman"/>
      <w:position w:val="0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E1BDB"/>
    <w:pPr>
      <w:ind w:left="708"/>
    </w:pPr>
  </w:style>
  <w:style w:type="paragraph" w:styleId="Zkladntext">
    <w:name w:val="Body Text"/>
    <w:basedOn w:val="Normln"/>
    <w:link w:val="ZkladntextChar"/>
    <w:rsid w:val="000E1BDB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E1BDB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paragraph" w:customStyle="1" w:styleId="Zastupitelstvonzevusnesen">
    <w:name w:val="Zastupitelstvo název usnesení"/>
    <w:basedOn w:val="Normln"/>
    <w:rsid w:val="000E1BD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0E1BD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NormlnIMP">
    <w:name w:val="Normální_IMP"/>
    <w:basedOn w:val="Normln"/>
    <w:rsid w:val="0040530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C07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C07593"/>
    <w:rPr>
      <w:rFonts w:ascii="Arial" w:eastAsia="Times New Roman" w:hAnsi="Arial" w:cs="Times New Roman"/>
      <w:bCs/>
      <w:sz w:val="24"/>
      <w:szCs w:val="28"/>
      <w:lang w:val="x-none" w:eastAsia="x-none"/>
    </w:rPr>
  </w:style>
  <w:style w:type="character" w:customStyle="1" w:styleId="Nadpis5Char">
    <w:name w:val="Nadpis 5 Char"/>
    <w:link w:val="Nadpis5"/>
    <w:rsid w:val="00C07593"/>
    <w:rPr>
      <w:rFonts w:ascii="Arial" w:eastAsia="Times New Roman" w:hAnsi="Arial" w:cs="Times New Roman"/>
      <w:bCs/>
      <w:iCs/>
      <w:sz w:val="24"/>
      <w:szCs w:val="26"/>
      <w:lang w:val="x-none" w:eastAsia="x-none"/>
    </w:rPr>
  </w:style>
  <w:style w:type="character" w:customStyle="1" w:styleId="Nadpis6Char">
    <w:name w:val="Nadpis 6 Char"/>
    <w:link w:val="Nadpis6"/>
    <w:rsid w:val="00C07593"/>
    <w:rPr>
      <w:rFonts w:ascii="Arial" w:eastAsia="Times New Roman" w:hAnsi="Arial" w:cs="Times New Roman"/>
      <w:bCs/>
      <w:sz w:val="24"/>
      <w:lang w:val="x-none" w:eastAsia="x-none"/>
    </w:rPr>
  </w:style>
  <w:style w:type="character" w:customStyle="1" w:styleId="Nadpis7Char">
    <w:name w:val="Nadpis 7 Char"/>
    <w:link w:val="Nadpis7"/>
    <w:rsid w:val="00C0759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07593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07593"/>
    <w:rPr>
      <w:rFonts w:ascii="Arial" w:eastAsia="Times New Roman" w:hAnsi="Arial" w:cs="Times New Roman"/>
      <w:lang w:val="x-none" w:eastAsia="x-none"/>
    </w:rPr>
  </w:style>
  <w:style w:type="paragraph" w:customStyle="1" w:styleId="slo1text">
    <w:name w:val="Číslo1 text"/>
    <w:basedOn w:val="Normln"/>
    <w:rsid w:val="00C07593"/>
    <w:pPr>
      <w:widowControl w:val="0"/>
      <w:numPr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C07593"/>
    <w:pPr>
      <w:widowControl w:val="0"/>
      <w:numPr>
        <w:ilvl w:val="1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C07593"/>
    <w:pPr>
      <w:widowControl w:val="0"/>
      <w:numPr>
        <w:ilvl w:val="2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customStyle="1" w:styleId="Podtren">
    <w:name w:val="Podtržení"/>
    <w:basedOn w:val="Normln"/>
    <w:rsid w:val="00C07593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A47A0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A2DE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table" w:styleId="Mkatabulky">
    <w:name w:val="Table Grid"/>
    <w:basedOn w:val="Normlntabulka"/>
    <w:uiPriority w:val="39"/>
    <w:rsid w:val="0002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05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5CA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cp:lastModifiedBy>Lipina</cp:lastModifiedBy>
  <cp:revision>3</cp:revision>
  <cp:lastPrinted>2025-08-27T12:43:00Z</cp:lastPrinted>
  <dcterms:created xsi:type="dcterms:W3CDTF">2026-04-29T07:58:00Z</dcterms:created>
  <dcterms:modified xsi:type="dcterms:W3CDTF">2026-04-29T08:34:00Z</dcterms:modified>
</cp:coreProperties>
</file>